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97B" w:rsidRDefault="00D1397B" w:rsidP="00D1397B">
      <w:pPr>
        <w:jc w:val="both"/>
        <w:rPr>
          <w:rFonts w:ascii="Trebuchet MS" w:hAnsi="Trebuchet MS"/>
          <w:b/>
          <w:color w:val="365F91" w:themeColor="accent1" w:themeShade="BF"/>
          <w:u w:val="single"/>
          <w:lang w:val="fr-BE"/>
        </w:rPr>
      </w:pPr>
    </w:p>
    <w:p w:rsidR="00D1397B" w:rsidRPr="00D1397B" w:rsidRDefault="00D1397B" w:rsidP="00D1397B">
      <w:pPr>
        <w:jc w:val="both"/>
        <w:rPr>
          <w:rFonts w:ascii="Trebuchet MS" w:hAnsi="Trebuchet MS"/>
          <w:b/>
          <w:color w:val="365F91" w:themeColor="accent1" w:themeShade="BF"/>
          <w:u w:val="single"/>
          <w:lang w:val="fr-BE"/>
        </w:rPr>
      </w:pPr>
      <w:bookmarkStart w:id="0" w:name="_GoBack"/>
      <w:bookmarkEnd w:id="0"/>
      <w:r w:rsidRPr="00D1397B">
        <w:rPr>
          <w:rFonts w:ascii="Trebuchet MS" w:hAnsi="Trebuchet MS"/>
          <w:b/>
          <w:color w:val="365F91" w:themeColor="accent1" w:themeShade="BF"/>
          <w:u w:val="single"/>
          <w:lang w:val="fr-BE"/>
        </w:rPr>
        <w:t xml:space="preserve">Une demande de remboursement pour un </w:t>
      </w:r>
      <w:r>
        <w:rPr>
          <w:rFonts w:ascii="Trebuchet MS" w:hAnsi="Trebuchet MS"/>
          <w:b/>
          <w:color w:val="365F91" w:themeColor="accent1" w:themeShade="BF"/>
          <w:u w:val="single"/>
          <w:lang w:val="fr-BE"/>
        </w:rPr>
        <w:t>cancer des ovaires provoqué</w:t>
      </w:r>
      <w:r w:rsidRPr="00D1397B">
        <w:rPr>
          <w:rFonts w:ascii="Trebuchet MS" w:hAnsi="Trebuchet MS"/>
          <w:b/>
          <w:color w:val="365F91" w:themeColor="accent1" w:themeShade="BF"/>
          <w:u w:val="single"/>
          <w:lang w:val="fr-BE"/>
        </w:rPr>
        <w:t xml:space="preserve"> par l'amiante peut être faite auprès du Fonds de l'Amiante.</w:t>
      </w:r>
      <w:r w:rsidRPr="00D1397B">
        <w:rPr>
          <w:rFonts w:ascii="Arial Unicode MS" w:hAnsi="Arial Unicode MS"/>
          <w:color w:val="000000"/>
          <w:sz w:val="20"/>
          <w:szCs w:val="20"/>
          <w:lang w:val="fr-BE"/>
        </w:rPr>
        <w:t>.</w:t>
      </w:r>
    </w:p>
    <w:p w:rsidR="00D1397B" w:rsidRDefault="00D1397B" w:rsidP="00D1397B">
      <w:pPr>
        <w:jc w:val="both"/>
        <w:rPr>
          <w:rFonts w:ascii="Trebuchet MS" w:hAnsi="Trebuchet MS"/>
          <w:lang w:val="fr-BE"/>
        </w:rPr>
      </w:pPr>
      <w:r>
        <w:rPr>
          <w:rFonts w:ascii="Trebuchet MS" w:hAnsi="Trebuchet MS"/>
          <w:lang w:val="fr-BE"/>
        </w:rPr>
        <w:t>La loi a été publié ce 9 août 2022</w:t>
      </w:r>
      <w:r w:rsidRPr="00C45BD6">
        <w:rPr>
          <w:rFonts w:ascii="Trebuchet MS" w:hAnsi="Trebuchet MS"/>
          <w:lang w:val="fr-BE"/>
        </w:rPr>
        <w:t xml:space="preserve">. </w:t>
      </w:r>
      <w:r>
        <w:rPr>
          <w:rFonts w:ascii="Trebuchet MS" w:hAnsi="Trebuchet MS"/>
          <w:lang w:val="fr-BE"/>
        </w:rPr>
        <w:t xml:space="preserve">Une </w:t>
      </w:r>
      <w:r w:rsidRPr="00C45BD6">
        <w:rPr>
          <w:rFonts w:ascii="Trebuchet MS" w:hAnsi="Trebuchet MS"/>
          <w:lang w:val="fr-BE"/>
        </w:rPr>
        <w:t xml:space="preserve">demande en indemnisation </w:t>
      </w:r>
      <w:r>
        <w:rPr>
          <w:rFonts w:ascii="Trebuchet MS" w:hAnsi="Trebuchet MS"/>
          <w:lang w:val="fr-BE"/>
        </w:rPr>
        <w:t>peut donc être introduite à partir du 19 août.</w:t>
      </w:r>
    </w:p>
    <w:p w:rsidR="00D1397B" w:rsidRPr="00D1397B" w:rsidRDefault="00D1397B" w:rsidP="00D1397B">
      <w:pPr>
        <w:jc w:val="both"/>
        <w:rPr>
          <w:rFonts w:ascii="Trebuchet MS" w:hAnsi="Trebuchet MS"/>
          <w:lang w:val="fr-BE"/>
        </w:rPr>
      </w:pPr>
      <w:r w:rsidRPr="00D1397B">
        <w:rPr>
          <w:rFonts w:ascii="Trebuchet MS" w:hAnsi="Trebuchet MS"/>
          <w:lang w:val="fr-BE"/>
        </w:rPr>
        <w:t>Pour considérer que ce cancer a bien été provoqué par l’exposition à l’amiante une durée minimale d’exposition de 10 ans, à temps plein, dans une ou plusieurs des conditions ou professions suivantes impliquant une exposition significative à l’amiante est nécessaire :</w:t>
      </w:r>
    </w:p>
    <w:p w:rsidR="00D1397B" w:rsidRPr="005D3D09" w:rsidRDefault="00D1397B" w:rsidP="00D1397B">
      <w:pPr>
        <w:pStyle w:val="Lijstalinea"/>
        <w:numPr>
          <w:ilvl w:val="0"/>
          <w:numId w:val="1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fabrication de produits contenant du ciment à base d’amiante; </w:t>
      </w:r>
    </w:p>
    <w:p w:rsidR="00D1397B" w:rsidRPr="005D3D09" w:rsidRDefault="00D1397B" w:rsidP="00D1397B">
      <w:pPr>
        <w:pStyle w:val="Lijstalinea"/>
        <w:numPr>
          <w:ilvl w:val="0"/>
          <w:numId w:val="1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fabrication de produits destinés à l’isolation thermique et/ou acoustique et à base d’amiante;</w:t>
      </w:r>
    </w:p>
    <w:p w:rsidR="00D1397B" w:rsidRPr="005D3D09" w:rsidRDefault="00D1397B" w:rsidP="00D1397B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filature et tissage d’amiante; </w:t>
      </w:r>
    </w:p>
    <w:p w:rsidR="00D1397B" w:rsidRPr="005D3D09" w:rsidRDefault="00D1397B" w:rsidP="00D1397B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fabrication de matériaux de friction à base d’amiante (entre autres : garniture de freins et accouplements à glissements pour véhicules et appareils); </w:t>
      </w:r>
    </w:p>
    <w:p w:rsidR="00D1397B" w:rsidRPr="005D3D09" w:rsidRDefault="00D1397B" w:rsidP="00D1397B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fabrication de filtres à base d’amiante;</w:t>
      </w:r>
    </w:p>
    <w:p w:rsidR="00D1397B" w:rsidRPr="005D3D09" w:rsidRDefault="00D1397B" w:rsidP="00D1397B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fabrication de portes coupe-feu contenant de l’amiante; </w:t>
      </w:r>
    </w:p>
    <w:p w:rsidR="00D1397B" w:rsidRPr="005D3D09" w:rsidRDefault="00D1397B" w:rsidP="00D1397B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pose d’isolation à base d’</w:t>
      </w:r>
      <w:r>
        <w:rPr>
          <w:rFonts w:ascii="Trebuchet MS" w:hAnsi="Trebuchet MS"/>
        </w:rPr>
        <w:t>amiante</w:t>
      </w:r>
      <w:r w:rsidRPr="005D3D09">
        <w:rPr>
          <w:rFonts w:ascii="Trebuchet MS" w:hAnsi="Trebuchet MS"/>
        </w:rPr>
        <w:t xml:space="preserve"> et projection d’amiante; </w:t>
      </w:r>
    </w:p>
    <w:p w:rsidR="00D1397B" w:rsidRPr="005D3D09" w:rsidRDefault="00D1397B" w:rsidP="00D1397B">
      <w:pPr>
        <w:pStyle w:val="Lijstalinea"/>
        <w:numPr>
          <w:ilvl w:val="0"/>
          <w:numId w:val="2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construction navale, réparation de bateaux, exécution d’activités à bord et particulièrement dans la chambre des machines, menuisiers dans la construction navale; </w:t>
      </w:r>
    </w:p>
    <w:p w:rsidR="00D1397B" w:rsidRPr="005D3D09" w:rsidRDefault="00D1397B" w:rsidP="00D1397B">
      <w:pPr>
        <w:pStyle w:val="Lijstalinea"/>
        <w:numPr>
          <w:ilvl w:val="0"/>
          <w:numId w:val="3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mécaniciens et machinistes sur navire;</w:t>
      </w:r>
    </w:p>
    <w:p w:rsidR="00D1397B" w:rsidRPr="005D3D09" w:rsidRDefault="00D1397B" w:rsidP="00D1397B">
      <w:pPr>
        <w:pStyle w:val="Lijstalinea"/>
        <w:numPr>
          <w:ilvl w:val="0"/>
          <w:numId w:val="3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dockers tous travaux ou manœuvres chargés de décharger et de manipuler l’amiante, 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travailleurs chargés de manipuler l’amiante en vrac; 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travailleurs chargés d’opérations mécaniques sur des matériaux contenant de l’amiante (couper, aiguiser, poncer, forer) particulièrement pour la fabrication de bagues d’étanchéité, de garnitures de freins et d’accouplements par glissements à base d’</w:t>
      </w:r>
      <w:r>
        <w:rPr>
          <w:rFonts w:ascii="Trebuchet MS" w:hAnsi="Trebuchet MS"/>
        </w:rPr>
        <w:t>amiante</w:t>
      </w:r>
      <w:r w:rsidRPr="005D3D09">
        <w:rPr>
          <w:rFonts w:ascii="Trebuchet MS" w:hAnsi="Trebuchet MS"/>
        </w:rPr>
        <w:t xml:space="preserve">; 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démolition d’installations et de bâtiments contenant des matériaux à base d’amiante (par exemple : fours, chauffage central, chaudières, récupération de métal, démolition de navires) et assainissement de bâtiments contenant des matériaux à base d’amiante;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récupération et battage de sacs de jute ayant contenu de l’amiante ;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poseurs de tubes et tuyauteurs-soudeurs dans le cadre de travaux d’entretien ou de réparations;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mécaniciens d’entretien dans les centrales électriques;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 xml:space="preserve">installateurs de chauffage central; </w:t>
      </w:r>
    </w:p>
    <w:p w:rsidR="00D1397B" w:rsidRPr="005D3D09" w:rsidRDefault="00D1397B" w:rsidP="00D1397B">
      <w:pPr>
        <w:pStyle w:val="Lijstalinea"/>
        <w:numPr>
          <w:ilvl w:val="0"/>
          <w:numId w:val="4"/>
        </w:numPr>
        <w:jc w:val="both"/>
        <w:rPr>
          <w:rFonts w:ascii="Trebuchet MS" w:hAnsi="Trebuchet MS"/>
        </w:rPr>
      </w:pPr>
      <w:r w:rsidRPr="005D3D09">
        <w:rPr>
          <w:rFonts w:ascii="Trebuchet MS" w:hAnsi="Trebuchet MS"/>
        </w:rPr>
        <w:t>maçons de four.</w:t>
      </w:r>
    </w:p>
    <w:p w:rsidR="00D1397B" w:rsidRPr="00D1397B" w:rsidRDefault="00D1397B" w:rsidP="00D1397B">
      <w:pPr>
        <w:jc w:val="both"/>
        <w:rPr>
          <w:rFonts w:ascii="Trebuchet MS" w:hAnsi="Trebuchet MS"/>
          <w:lang w:val="fr-BE"/>
        </w:rPr>
      </w:pPr>
      <w:r w:rsidRPr="00D1397B">
        <w:rPr>
          <w:rFonts w:ascii="Trebuchet MS" w:hAnsi="Trebuchet MS"/>
          <w:lang w:val="fr-BE"/>
        </w:rPr>
        <w:t>La présence de fibres d’amiante dans les tissus atteints par le cancer ovarien n’a pas été retenue comme un critère valable pour la reconnaissance du cancer ovarien comme maladie professionnelle.</w:t>
      </w:r>
    </w:p>
    <w:p w:rsidR="00D1397B" w:rsidRPr="000829C4" w:rsidRDefault="00D1397B" w:rsidP="00D1397B">
      <w:pPr>
        <w:jc w:val="both"/>
        <w:rPr>
          <w:lang w:val="fr-BE"/>
        </w:rPr>
      </w:pPr>
    </w:p>
    <w:p w:rsidR="009F437A" w:rsidRPr="00D1397B" w:rsidRDefault="00311A0A" w:rsidP="0037016E">
      <w:pPr>
        <w:spacing w:before="120" w:line="240" w:lineRule="auto"/>
        <w:rPr>
          <w:lang w:val="fr-BE"/>
        </w:rPr>
      </w:pPr>
      <w:r w:rsidRPr="00D1397B">
        <w:rPr>
          <w:lang w:val="fr-BE"/>
        </w:rPr>
        <w:t xml:space="preserve">                                           </w:t>
      </w:r>
    </w:p>
    <w:sectPr w:rsidR="009F437A" w:rsidRPr="00D1397B" w:rsidSect="009F43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213" w:rsidRDefault="00B00213" w:rsidP="000D568E">
      <w:pPr>
        <w:spacing w:after="0" w:line="240" w:lineRule="auto"/>
      </w:pPr>
      <w:r>
        <w:separator/>
      </w:r>
    </w:p>
  </w:endnote>
  <w:endnote w:type="continuationSeparator" w:id="0">
    <w:p w:rsidR="00B00213" w:rsidRDefault="00B00213" w:rsidP="000D5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1C9" w:rsidRDefault="00EF41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1C9" w:rsidRDefault="00EF41C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1C9" w:rsidRDefault="00EF41C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213" w:rsidRDefault="00B00213" w:rsidP="000D568E">
      <w:pPr>
        <w:spacing w:after="0" w:line="240" w:lineRule="auto"/>
      </w:pPr>
      <w:r>
        <w:separator/>
      </w:r>
    </w:p>
  </w:footnote>
  <w:footnote w:type="continuationSeparator" w:id="0">
    <w:p w:rsidR="00B00213" w:rsidRDefault="00B00213" w:rsidP="000D5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1C9" w:rsidRDefault="00EF41C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1C9" w:rsidRDefault="00EF41C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571" w:rsidRPr="005B63D5" w:rsidRDefault="00EF41C9" w:rsidP="00BC2853">
    <w:pPr>
      <w:widowControl w:val="0"/>
      <w:tabs>
        <w:tab w:val="left" w:pos="1797"/>
        <w:tab w:val="left" w:pos="4111"/>
        <w:tab w:val="left" w:pos="6379"/>
      </w:tabs>
      <w:autoSpaceDE w:val="0"/>
      <w:autoSpaceDN w:val="0"/>
      <w:adjustRightInd w:val="0"/>
      <w:spacing w:before="20" w:after="0" w:line="240" w:lineRule="auto"/>
      <w:ind w:left="1814"/>
      <w:rPr>
        <w:rFonts w:eastAsia="Times New Roman" w:cs="Times New Roman"/>
        <w:b/>
        <w:spacing w:val="20"/>
        <w:kern w:val="72"/>
        <w:sz w:val="32"/>
        <w:szCs w:val="32"/>
        <w:lang w:val="fr-BE" w:eastAsia="nl-NL"/>
      </w:rPr>
    </w:pPr>
    <w:r w:rsidRPr="00EF41C9">
      <w:rPr>
        <w:rFonts w:eastAsia="Times New Roman" w:cs="Times New Roman"/>
        <w:b/>
        <w:bCs/>
        <w:noProof/>
        <w:spacing w:val="20"/>
        <w:sz w:val="32"/>
        <w:szCs w:val="32"/>
        <w:lang w:val="fr-BE" w:eastAsia="fr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16984</wp:posOffset>
          </wp:positionV>
          <wp:extent cx="935580" cy="730155"/>
          <wp:effectExtent l="0" t="0" r="0" b="0"/>
          <wp:wrapSquare wrapText="bothSides"/>
          <wp:docPr id="2" name="Image 2" descr="N:\Website AFA\logo\AFA logo 30 x 40 c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Website AFA\logo\AFA logo 30 x 40 c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580" cy="73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66571" w:rsidRPr="005B63D5">
      <w:rPr>
        <w:rFonts w:eastAsia="Times New Roman" w:cs="Times New Roman"/>
        <w:b/>
        <w:bCs/>
        <w:spacing w:val="20"/>
        <w:sz w:val="32"/>
        <w:szCs w:val="32"/>
        <w:lang w:val="fr-BE" w:eastAsia="nl-NL"/>
      </w:rPr>
      <w:t>Fonds amiante</w:t>
    </w:r>
  </w:p>
  <w:p w:rsidR="00F66571" w:rsidRPr="00D75ED3" w:rsidRDefault="00DD544C" w:rsidP="00BC2853">
    <w:pPr>
      <w:widowControl w:val="0"/>
      <w:tabs>
        <w:tab w:val="left" w:pos="1797"/>
        <w:tab w:val="left" w:pos="4111"/>
        <w:tab w:val="left" w:pos="6379"/>
      </w:tabs>
      <w:autoSpaceDE w:val="0"/>
      <w:autoSpaceDN w:val="0"/>
      <w:adjustRightInd w:val="0"/>
      <w:spacing w:before="20" w:after="0" w:line="240" w:lineRule="auto"/>
      <w:ind w:left="1814"/>
      <w:rPr>
        <w:rFonts w:ascii="Verdana" w:eastAsia="Times New Roman" w:hAnsi="Verdana" w:cs="Times New Roman"/>
        <w:b/>
        <w:spacing w:val="20"/>
        <w:kern w:val="72"/>
        <w:sz w:val="18"/>
        <w:szCs w:val="18"/>
        <w:lang w:val="fr-BE" w:eastAsia="nl-NL"/>
      </w:rPr>
    </w:pPr>
    <w:r>
      <w:rPr>
        <w:rFonts w:ascii="Verdana" w:eastAsia="Times New Roman" w:hAnsi="Verdana" w:cs="Times New Roman"/>
        <w:b/>
        <w:spacing w:val="20"/>
        <w:kern w:val="72"/>
        <w:sz w:val="18"/>
        <w:szCs w:val="18"/>
        <w:lang w:val="fr-BE" w:eastAsia="nl-NL"/>
      </w:rPr>
      <w:t xml:space="preserve">Géré par </w:t>
    </w:r>
    <w:r w:rsidR="004C1FC4">
      <w:rPr>
        <w:rFonts w:ascii="Verdana" w:eastAsia="Times New Roman" w:hAnsi="Verdana" w:cs="Times New Roman"/>
        <w:b/>
        <w:spacing w:val="20"/>
        <w:kern w:val="72"/>
        <w:sz w:val="18"/>
        <w:szCs w:val="18"/>
        <w:lang w:val="fr-BE" w:eastAsia="nl-NL"/>
      </w:rPr>
      <w:t>Fedris</w:t>
    </w:r>
  </w:p>
  <w:p w:rsidR="00F66571" w:rsidRPr="00D75ED3" w:rsidRDefault="00F66571" w:rsidP="00BC2853">
    <w:pPr>
      <w:widowControl w:val="0"/>
      <w:tabs>
        <w:tab w:val="left" w:pos="1797"/>
        <w:tab w:val="left" w:pos="4111"/>
        <w:tab w:val="left" w:pos="6379"/>
      </w:tabs>
      <w:autoSpaceDE w:val="0"/>
      <w:autoSpaceDN w:val="0"/>
      <w:adjustRightInd w:val="0"/>
      <w:spacing w:before="80" w:after="0" w:line="240" w:lineRule="auto"/>
      <w:ind w:left="1814"/>
      <w:rPr>
        <w:rFonts w:ascii="Verdana" w:eastAsia="Times New Roman" w:hAnsi="Verdana" w:cs="Times New Roman"/>
        <w:sz w:val="15"/>
        <w:szCs w:val="15"/>
        <w:lang w:val="fr-BE" w:eastAsia="nl-NL"/>
      </w:rPr>
    </w:pP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sym w:font="Symbol" w:char="F0BD"/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 xml:space="preserve"> Avenue de l’Astronomie 1 </w:t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sym w:font="Symbol" w:char="F0B7"/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 xml:space="preserve"> 1210 </w:t>
    </w:r>
    <w:r w:rsidRPr="00D75ED3">
      <w:rPr>
        <w:rFonts w:ascii="Verdana" w:eastAsia="Times New Roman" w:hAnsi="Verdana" w:cs="Times New Roman"/>
        <w:bCs/>
        <w:iCs/>
        <w:sz w:val="15"/>
        <w:szCs w:val="15"/>
        <w:lang w:val="fr-BE" w:eastAsia="nl-NL"/>
      </w:rPr>
      <w:t>B</w:t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>ru</w:t>
    </w:r>
    <w:r w:rsidR="009B5645">
      <w:rPr>
        <w:rFonts w:ascii="Verdana" w:eastAsia="Times New Roman" w:hAnsi="Verdana" w:cs="Times New Roman"/>
        <w:sz w:val="15"/>
        <w:szCs w:val="15"/>
        <w:lang w:val="fr-BE" w:eastAsia="nl-NL"/>
      </w:rPr>
      <w:t>x</w:t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>el</w:t>
    </w:r>
    <w:r w:rsidR="009B5645">
      <w:rPr>
        <w:rFonts w:ascii="Verdana" w:eastAsia="Times New Roman" w:hAnsi="Verdana" w:cs="Times New Roman"/>
        <w:sz w:val="15"/>
        <w:szCs w:val="15"/>
        <w:lang w:val="fr-BE" w:eastAsia="nl-NL"/>
      </w:rPr>
      <w:t>les</w:t>
    </w:r>
  </w:p>
  <w:p w:rsidR="0037016E" w:rsidRPr="0037016E" w:rsidRDefault="00F66571" w:rsidP="0037016E">
    <w:pPr>
      <w:widowControl w:val="0"/>
      <w:pBdr>
        <w:bottom w:val="single" w:sz="6" w:space="1" w:color="auto"/>
      </w:pBdr>
      <w:tabs>
        <w:tab w:val="left" w:pos="1797"/>
        <w:tab w:val="right" w:pos="9639"/>
      </w:tabs>
      <w:autoSpaceDE w:val="0"/>
      <w:autoSpaceDN w:val="0"/>
      <w:adjustRightInd w:val="0"/>
      <w:spacing w:before="80" w:after="0" w:line="240" w:lineRule="auto"/>
      <w:ind w:left="1814"/>
      <w:jc w:val="both"/>
      <w:rPr>
        <w:rFonts w:ascii="Verdana" w:eastAsia="Times New Roman" w:hAnsi="Verdana" w:cs="Times New Roman"/>
        <w:color w:val="000000"/>
        <w:sz w:val="15"/>
        <w:szCs w:val="15"/>
        <w:lang w:val="fr-BE" w:eastAsia="nl-NL"/>
      </w:rPr>
    </w:pP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sym w:font="Symbol" w:char="F0BD"/>
    </w:r>
    <w:r w:rsidR="004C1FC4">
      <w:rPr>
        <w:rFonts w:ascii="Verdana" w:eastAsia="Times New Roman" w:hAnsi="Verdana" w:cs="Times New Roman"/>
        <w:sz w:val="15"/>
        <w:szCs w:val="15"/>
        <w:lang w:val="fr-BE" w:eastAsia="nl-NL"/>
      </w:rPr>
      <w:t xml:space="preserve"> Ouvert de 9 à 16</w:t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 xml:space="preserve"> heure</w:t>
    </w:r>
    <w:r w:rsidR="00FD0205">
      <w:rPr>
        <w:rFonts w:ascii="Verdana" w:eastAsia="Times New Roman" w:hAnsi="Verdana" w:cs="Times New Roman"/>
        <w:sz w:val="15"/>
        <w:szCs w:val="15"/>
        <w:lang w:val="fr-BE" w:eastAsia="nl-NL"/>
      </w:rPr>
      <w:t>s</w:t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 xml:space="preserve"> et sur rendez-vous</w:t>
    </w:r>
    <w:r w:rsidRPr="00D75ED3">
      <w:rPr>
        <w:rFonts w:ascii="Verdana" w:eastAsia="Times New Roman" w:hAnsi="Verdana" w:cs="Times New Roman"/>
        <w:sz w:val="15"/>
        <w:szCs w:val="15"/>
        <w:lang w:val="fr-BE" w:eastAsia="nl-NL"/>
      </w:rPr>
      <w:tab/>
    </w:r>
    <w:r w:rsidR="00B00213">
      <w:fldChar w:fldCharType="begin"/>
    </w:r>
    <w:r w:rsidR="00B00213" w:rsidRPr="00D1397B">
      <w:rPr>
        <w:lang w:val="fr-BE"/>
      </w:rPr>
      <w:instrText xml:space="preserve"> HYPERLINK "http://www.fondsamiante.be" </w:instrText>
    </w:r>
    <w:r w:rsidR="00B00213">
      <w:fldChar w:fldCharType="separate"/>
    </w:r>
    <w:r w:rsidR="00EF41C9" w:rsidRPr="00EF41C9">
      <w:rPr>
        <w:rStyle w:val="Hyperlink"/>
        <w:rFonts w:ascii="Verdana" w:eastAsia="Times New Roman" w:hAnsi="Verdana" w:cs="Times New Roman"/>
        <w:color w:val="auto"/>
        <w:sz w:val="15"/>
        <w:szCs w:val="15"/>
        <w:u w:val="none"/>
        <w:lang w:val="fr-BE" w:eastAsia="nl-NL"/>
      </w:rPr>
      <w:t>www.fondsamiante.be</w:t>
    </w:r>
    <w:r w:rsidR="00B00213">
      <w:rPr>
        <w:rStyle w:val="Hyperlink"/>
        <w:rFonts w:ascii="Verdana" w:eastAsia="Times New Roman" w:hAnsi="Verdana" w:cs="Times New Roman"/>
        <w:color w:val="auto"/>
        <w:sz w:val="15"/>
        <w:szCs w:val="15"/>
        <w:u w:val="none"/>
        <w:lang w:val="fr-BE" w:eastAsia="nl-N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2570"/>
    <w:multiLevelType w:val="hybridMultilevel"/>
    <w:tmpl w:val="E5489584"/>
    <w:lvl w:ilvl="0" w:tplc="9EDE3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7147F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8E1ADA"/>
    <w:multiLevelType w:val="hybridMultilevel"/>
    <w:tmpl w:val="B220EABC"/>
    <w:lvl w:ilvl="0" w:tplc="9EDE3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EDE3E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FD6845"/>
    <w:multiLevelType w:val="hybridMultilevel"/>
    <w:tmpl w:val="DD64E7B0"/>
    <w:lvl w:ilvl="0" w:tplc="9EDE3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B67CC2"/>
    <w:multiLevelType w:val="hybridMultilevel"/>
    <w:tmpl w:val="E47E44EC"/>
    <w:lvl w:ilvl="0" w:tplc="9EDE3E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EDE3E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68E"/>
    <w:rsid w:val="00033C41"/>
    <w:rsid w:val="000D568E"/>
    <w:rsid w:val="001F4C29"/>
    <w:rsid w:val="00202402"/>
    <w:rsid w:val="00207527"/>
    <w:rsid w:val="00271A55"/>
    <w:rsid w:val="002C4371"/>
    <w:rsid w:val="003021D6"/>
    <w:rsid w:val="00311A0A"/>
    <w:rsid w:val="0037016E"/>
    <w:rsid w:val="004362EF"/>
    <w:rsid w:val="004C1FC4"/>
    <w:rsid w:val="004E1703"/>
    <w:rsid w:val="00507604"/>
    <w:rsid w:val="005B63D5"/>
    <w:rsid w:val="005C3913"/>
    <w:rsid w:val="005F4D13"/>
    <w:rsid w:val="00627E08"/>
    <w:rsid w:val="007D6D85"/>
    <w:rsid w:val="007E6661"/>
    <w:rsid w:val="007F0F03"/>
    <w:rsid w:val="007F571A"/>
    <w:rsid w:val="008A6799"/>
    <w:rsid w:val="009B5645"/>
    <w:rsid w:val="009F437A"/>
    <w:rsid w:val="00A132AE"/>
    <w:rsid w:val="00A441D6"/>
    <w:rsid w:val="00A8217A"/>
    <w:rsid w:val="00B00213"/>
    <w:rsid w:val="00BC2853"/>
    <w:rsid w:val="00BC54A1"/>
    <w:rsid w:val="00D1397B"/>
    <w:rsid w:val="00D17D35"/>
    <w:rsid w:val="00D7574D"/>
    <w:rsid w:val="00D75ED3"/>
    <w:rsid w:val="00DD544C"/>
    <w:rsid w:val="00E74BAE"/>
    <w:rsid w:val="00ED5A10"/>
    <w:rsid w:val="00EF41C9"/>
    <w:rsid w:val="00F66571"/>
    <w:rsid w:val="00F6727C"/>
    <w:rsid w:val="00F9535B"/>
    <w:rsid w:val="00FD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8240390"/>
  <w15:docId w15:val="{E3882685-0640-4FEE-A115-6D27B49F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D5A10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033C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0D5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0D568E"/>
    <w:rPr>
      <w:lang w:val="nl-BE"/>
    </w:rPr>
  </w:style>
  <w:style w:type="paragraph" w:styleId="Voettekst">
    <w:name w:val="footer"/>
    <w:basedOn w:val="Standaard"/>
    <w:link w:val="VoettekstChar"/>
    <w:unhideWhenUsed/>
    <w:rsid w:val="000D56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rsid w:val="000D568E"/>
    <w:rPr>
      <w:lang w:val="nl-BE"/>
    </w:rPr>
  </w:style>
  <w:style w:type="character" w:styleId="Hyperlink">
    <w:name w:val="Hyperlink"/>
    <w:basedOn w:val="Standaardalinea-lettertype"/>
    <w:rsid w:val="000D568E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3C4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3C4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3C41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3C4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3C41"/>
    <w:rPr>
      <w:b/>
      <w:bCs/>
      <w:sz w:val="20"/>
      <w:szCs w:val="20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3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33C41"/>
    <w:rPr>
      <w:rFonts w:ascii="Tahoma" w:hAnsi="Tahoma" w:cs="Tahoma"/>
      <w:sz w:val="16"/>
      <w:szCs w:val="16"/>
      <w:lang w:val="nl-BE"/>
    </w:rPr>
  </w:style>
  <w:style w:type="character" w:customStyle="1" w:styleId="Kop1Char">
    <w:name w:val="Kop 1 Char"/>
    <w:basedOn w:val="Standaardalinea-lettertype"/>
    <w:link w:val="Kop1"/>
    <w:uiPriority w:val="9"/>
    <w:rsid w:val="00033C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BE"/>
    </w:rPr>
  </w:style>
  <w:style w:type="paragraph" w:styleId="Lijstalinea">
    <w:name w:val="List Paragraph"/>
    <w:basedOn w:val="Standaard"/>
    <w:uiPriority w:val="34"/>
    <w:qFormat/>
    <w:rsid w:val="00D1397B"/>
    <w:pPr>
      <w:spacing w:after="160" w:line="259" w:lineRule="auto"/>
      <w:ind w:left="720"/>
      <w:contextualSpacing/>
    </w:pPr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69CC7-1EDB-4B7E-8578-17267A36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FMP-FBZ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dewolfma</dc:creator>
  <cp:lastModifiedBy>Alexander Van De Sande (FEDRIS)</cp:lastModifiedBy>
  <cp:revision>2</cp:revision>
  <cp:lastPrinted>2016-11-23T09:44:00Z</cp:lastPrinted>
  <dcterms:created xsi:type="dcterms:W3CDTF">2022-09-16T08:27:00Z</dcterms:created>
  <dcterms:modified xsi:type="dcterms:W3CDTF">2022-09-16T08:27:00Z</dcterms:modified>
</cp:coreProperties>
</file>